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4"/>
          <w:szCs w:val="34"/>
        </w:rPr>
      </w:pPr>
      <w:bookmarkStart w:id="0" w:name="_GoBack"/>
      <w:bookmarkEnd w:id="0"/>
      <w:r>
        <w:rPr>
          <w:color w:val="000000"/>
          <w:sz w:val="34"/>
          <w:szCs w:val="34"/>
        </w:rPr>
        <w:t>10</w:t>
      </w:r>
      <w:r>
        <w:rPr>
          <w:color w:val="000000"/>
          <w:sz w:val="34"/>
          <w:szCs w:val="34"/>
          <w:vertAlign w:val="superscript"/>
        </w:rPr>
        <w:t>th</w:t>
      </w:r>
      <w:r>
        <w:rPr>
          <w:color w:val="000000"/>
          <w:sz w:val="34"/>
          <w:szCs w:val="34"/>
        </w:rPr>
        <w:t xml:space="preserve"> Grade Passage Logistics</w:t>
      </w:r>
    </w:p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Spring 2017</w:t>
      </w:r>
    </w:p>
    <w:p w:rsidR="00313983" w:rsidRDefault="0031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When during the day should I schedule my crew’s presentations?</w:t>
      </w:r>
    </w:p>
    <w:p w:rsidR="00313983" w:rsidRDefault="00CC36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Late days, preps  </w:t>
      </w:r>
    </w:p>
    <w:p w:rsidR="00313983" w:rsidRDefault="0031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How long should each presentation take?</w:t>
      </w:r>
      <w:r>
        <w:rPr>
          <w:color w:val="000000"/>
        </w:rPr>
        <w:t xml:space="preserve"> </w:t>
      </w:r>
    </w:p>
    <w:p w:rsidR="00313983" w:rsidRDefault="00CC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20-30 minutes:</w:t>
      </w:r>
      <w:r>
        <w:rPr>
          <w:color w:val="000000"/>
        </w:rPr>
        <w:t xml:space="preserve"> Students should plan to keep the presentation to 15-20 minutes plus 5-10 minutes of questions from the panel.</w:t>
      </w:r>
    </w:p>
    <w:p w:rsidR="00313983" w:rsidRDefault="00CC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5-10 minutes:</w:t>
      </w:r>
      <w:r>
        <w:rPr>
          <w:color w:val="000000"/>
        </w:rPr>
        <w:t xml:space="preserve"> Once the presentation is finished, the student steps outside and the panel discusses feedback for the student.</w:t>
      </w:r>
    </w:p>
    <w:p w:rsidR="00313983" w:rsidRDefault="00CC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5 minutes:</w:t>
      </w:r>
      <w:r>
        <w:rPr>
          <w:color w:val="000000"/>
        </w:rPr>
        <w:t xml:space="preserve"> Student returns to the room to get feedback and possibly the presentation grade (depending on what teachers decide together).</w:t>
      </w:r>
    </w:p>
    <w:p w:rsidR="00313983" w:rsidRDefault="00CC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So, plan on 45 minutes, but we recommend scheduling them in 1 hour slots.</w:t>
      </w:r>
    </w:p>
    <w:p w:rsidR="00313983" w:rsidRDefault="0031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Where will they happen?</w:t>
      </w:r>
    </w:p>
    <w:p w:rsidR="00313983" w:rsidRDefault="00CC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You can use your crew room or set up another space with the appropriate person (i.e. Karen for the conference room, Pat for guidance, Teresa for library).</w:t>
      </w:r>
    </w:p>
    <w:p w:rsidR="00313983" w:rsidRDefault="0031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Can other students attend passages?</w:t>
      </w:r>
    </w:p>
    <w:p w:rsidR="00313983" w:rsidRDefault="00CC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Outside of school hours, anyone can attend.</w:t>
      </w:r>
    </w:p>
    <w:p w:rsidR="00313983" w:rsidRDefault="00CC36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During the school da</w:t>
      </w:r>
      <w:r>
        <w:rPr>
          <w:color w:val="000000"/>
        </w:rPr>
        <w:t>y, only the assistant, siblings (with teacher permission), and up to TWO other 10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graders can attend.  In order to miss </w:t>
      </w:r>
      <w:proofErr w:type="gramStart"/>
      <w:r>
        <w:rPr>
          <w:color w:val="000000"/>
        </w:rPr>
        <w:t>t  Students</w:t>
      </w:r>
      <w:proofErr w:type="gramEnd"/>
      <w:r>
        <w:rPr>
          <w:color w:val="000000"/>
        </w:rPr>
        <w:t xml:space="preserve"> who present during the school day cannot invite other students to attend. </w:t>
      </w:r>
    </w:p>
    <w:p w:rsidR="00313983" w:rsidRDefault="0031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What is the appropriate dress for passage?</w:t>
      </w:r>
    </w:p>
    <w:p w:rsidR="00313983" w:rsidRDefault="00CC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Pre</w:t>
      </w:r>
      <w:r>
        <w:rPr>
          <w:color w:val="000000"/>
        </w:rPr>
        <w:t xml:space="preserve">senters and assistants may dress UP for passages.  </w:t>
      </w:r>
    </w:p>
    <w:p w:rsidR="00313983" w:rsidRDefault="00CC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Please review with your crew what it means to dress UP.  </w:t>
      </w:r>
    </w:p>
    <w:p w:rsidR="00313983" w:rsidRDefault="00CC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Wearing a uniform rather than dressing up is always an option.</w:t>
      </w:r>
    </w:p>
    <w:p w:rsidR="00313983" w:rsidRDefault="00CC36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Student audience members must be in uniform.  </w:t>
      </w:r>
    </w:p>
    <w:p w:rsidR="00313983" w:rsidRDefault="0031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How can we help students find a community member for their panel?</w:t>
      </w:r>
    </w:p>
    <w:p w:rsidR="00313983" w:rsidRDefault="00CC36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students are expected to have a community member from outside of the school at their presentation.</w:t>
      </w:r>
    </w:p>
    <w:p w:rsidR="00313983" w:rsidRDefault="00CC36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purpose of this is to build important networking skills and to create a “high stake</w:t>
      </w:r>
      <w:r>
        <w:rPr>
          <w:color w:val="000000"/>
        </w:rPr>
        <w:t>s” atmosphere for the presentation.</w:t>
      </w:r>
    </w:p>
    <w:p w:rsidR="00313983" w:rsidRDefault="00CC36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Help kids brainstorm thinking about church, sports, former teachers from elementary school, parents of friends, friends of their own parents, neighbors, etc. </w:t>
      </w:r>
    </w:p>
    <w:p w:rsidR="00313983" w:rsidRDefault="00CC36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You can also support them by helping them write letters and e</w:t>
      </w:r>
      <w:r>
        <w:rPr>
          <w:color w:val="000000"/>
        </w:rPr>
        <w:t xml:space="preserve">mails or make phone calls in crew. </w:t>
      </w:r>
    </w:p>
    <w:p w:rsidR="00313983" w:rsidRDefault="0031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Grading</w:t>
      </w:r>
    </w:p>
    <w:p w:rsidR="00313983" w:rsidRDefault="00CC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Binder Deadline</w:t>
      </w:r>
      <w:r>
        <w:rPr>
          <w:color w:val="000000"/>
        </w:rPr>
        <w:t>: Completed, polished binder must be turned in to crew leader at least one week before scheduled presentation.</w:t>
      </w:r>
    </w:p>
    <w:p w:rsidR="00313983" w:rsidRDefault="00CC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Second Readers</w:t>
      </w:r>
      <w:r>
        <w:rPr>
          <w:color w:val="000000"/>
        </w:rPr>
        <w:t xml:space="preserve">: Crew leader grades the binder and then gives the binder to the assigned second reader.  </w:t>
      </w:r>
      <w:r>
        <w:rPr>
          <w:b/>
          <w:color w:val="000000"/>
        </w:rPr>
        <w:t>The purpose of the second reader is to help the crew leader stay true to the standard.</w:t>
      </w:r>
      <w:r>
        <w:rPr>
          <w:color w:val="000000"/>
        </w:rPr>
        <w:t xml:space="preserve">  If the second reader’s grade is different, it’s up to the crew leader to recon</w:t>
      </w:r>
      <w:r>
        <w:rPr>
          <w:color w:val="000000"/>
        </w:rPr>
        <w:t xml:space="preserve">cile them.  The second reader should communicate with the crew teacher, not the student, unless other arrangements are made by the crew teacher. </w:t>
      </w:r>
    </w:p>
    <w:p w:rsidR="00313983" w:rsidRDefault="00CC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Two Separate Grades</w:t>
      </w:r>
      <w:r>
        <w:rPr>
          <w:color w:val="000000"/>
        </w:rPr>
        <w:t>: Give two separate grades, one for the binder and one for the presentation.</w:t>
      </w:r>
    </w:p>
    <w:p w:rsidR="00313983" w:rsidRDefault="00CC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Determining th</w:t>
      </w:r>
      <w:r>
        <w:rPr>
          <w:color w:val="000000"/>
          <w:u w:val="single"/>
        </w:rPr>
        <w:t>e Grade using the Rubric</w:t>
      </w:r>
      <w:r>
        <w:rPr>
          <w:color w:val="000000"/>
        </w:rPr>
        <w:t xml:space="preserve">: When grading the binder or presentation, only the grades from our school-wide grading policy should be given.  Three’s should not be given if the work does not fully meet the target; all students should be held to the standard of </w:t>
      </w:r>
      <w:r>
        <w:rPr>
          <w:color w:val="000000"/>
        </w:rPr>
        <w:t>what it means to meet the target.</w:t>
      </w:r>
    </w:p>
    <w:p w:rsidR="00313983" w:rsidRDefault="00CC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In order to present</w:t>
      </w:r>
      <w:r>
        <w:rPr>
          <w:color w:val="000000"/>
        </w:rPr>
        <w:t xml:space="preserve">: Binders must be </w:t>
      </w:r>
      <w:r>
        <w:rPr>
          <w:b/>
          <w:color w:val="000000"/>
        </w:rPr>
        <w:t>meeting</w:t>
      </w:r>
      <w:r>
        <w:rPr>
          <w:color w:val="000000"/>
        </w:rPr>
        <w:t xml:space="preserve"> the target. </w:t>
      </w:r>
    </w:p>
    <w:p w:rsidR="00313983" w:rsidRDefault="00CC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Presentation Grade</w:t>
      </w:r>
      <w:r>
        <w:rPr>
          <w:color w:val="000000"/>
        </w:rPr>
        <w:t xml:space="preserve">: The presentation grade is determined by the crew teacher.  Some teachers get input from the panel.  This is not required.  </w:t>
      </w:r>
      <w:r>
        <w:rPr>
          <w:color w:val="000000"/>
          <w:highlight w:val="yellow"/>
        </w:rPr>
        <w:t>Discuss as a crew tea</w:t>
      </w:r>
      <w:r>
        <w:rPr>
          <w:color w:val="000000"/>
          <w:highlight w:val="yellow"/>
        </w:rPr>
        <w:t>cher team</w:t>
      </w:r>
      <w:r>
        <w:rPr>
          <w:color w:val="000000"/>
        </w:rPr>
        <w:t>.  In any case, the teacher gets the final say.</w:t>
      </w:r>
    </w:p>
    <w:p w:rsidR="00313983" w:rsidRDefault="00CC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lastRenderedPageBreak/>
        <w:t>Learning Target 2 Grade</w:t>
      </w:r>
      <w:r>
        <w:rPr>
          <w:color w:val="000000"/>
        </w:rPr>
        <w:t>: For the crew LT grade, weight the binder 2x more than the presentation.</w:t>
      </w:r>
    </w:p>
    <w:p w:rsidR="00313983" w:rsidRDefault="00CC3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Communicating with Students</w:t>
      </w:r>
      <w:r>
        <w:rPr>
          <w:color w:val="000000"/>
        </w:rPr>
        <w:t>: Please make this grading system clear to students early on, before presen</w:t>
      </w:r>
      <w:r>
        <w:rPr>
          <w:color w:val="000000"/>
        </w:rPr>
        <w:t>tations begin.</w:t>
      </w:r>
    </w:p>
    <w:p w:rsidR="00313983" w:rsidRDefault="0031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Deadlines and Incentives</w:t>
      </w:r>
    </w:p>
    <w:p w:rsidR="00313983" w:rsidRDefault="00CC3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yellow"/>
        </w:rPr>
      </w:pPr>
      <w:r>
        <w:rPr>
          <w:color w:val="000000"/>
        </w:rPr>
        <w:t xml:space="preserve">We need to decide on a way to celebrate passage.  Last year we had ice cream in the courtyard.  </w:t>
      </w:r>
      <w:r>
        <w:rPr>
          <w:color w:val="000000"/>
          <w:highlight w:val="yellow"/>
        </w:rPr>
        <w:t>Discuss this as a crew teacher team.</w:t>
      </w:r>
    </w:p>
    <w:p w:rsidR="00313983" w:rsidRDefault="00CC36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  <w:highlight w:val="yellow"/>
        </w:rPr>
        <w:t>Consider creating other incentives.</w:t>
      </w:r>
      <w:r>
        <w:rPr>
          <w:color w:val="000000"/>
        </w:rPr>
        <w:t xml:space="preserve">  For example, once a week, students who have met deadlines can go outside, while other students stay inside with some crew teachers and work on reflections. </w:t>
      </w:r>
    </w:p>
    <w:p w:rsidR="00313983" w:rsidRDefault="0031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313983" w:rsidRDefault="00CC3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DRAFT Second Reader Plan</w:t>
      </w:r>
    </w:p>
    <w:tbl>
      <w:tblPr>
        <w:tblStyle w:val="a"/>
        <w:tblW w:w="4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2"/>
        <w:gridCol w:w="2293"/>
      </w:tblGrid>
      <w:tr w:rsidR="00313983">
        <w:trPr>
          <w:trHeight w:val="260"/>
        </w:trPr>
        <w:tc>
          <w:tcPr>
            <w:tcW w:w="2292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Crew</w:t>
            </w:r>
          </w:p>
        </w:tc>
        <w:tc>
          <w:tcPr>
            <w:tcW w:w="2293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Second Reader</w:t>
            </w:r>
          </w:p>
        </w:tc>
      </w:tr>
      <w:tr w:rsidR="00313983">
        <w:trPr>
          <w:trHeight w:val="260"/>
        </w:trPr>
        <w:tc>
          <w:tcPr>
            <w:tcW w:w="2292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Letellier</w:t>
            </w:r>
            <w:proofErr w:type="spellEnd"/>
          </w:p>
        </w:tc>
        <w:tc>
          <w:tcPr>
            <w:tcW w:w="2293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Danby</w:t>
            </w:r>
          </w:p>
        </w:tc>
      </w:tr>
      <w:tr w:rsidR="00313983">
        <w:trPr>
          <w:trHeight w:val="260"/>
        </w:trPr>
        <w:tc>
          <w:tcPr>
            <w:tcW w:w="2292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Dill</w:t>
            </w:r>
          </w:p>
        </w:tc>
        <w:tc>
          <w:tcPr>
            <w:tcW w:w="2293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Camara</w:t>
            </w:r>
          </w:p>
        </w:tc>
      </w:tr>
      <w:tr w:rsidR="00313983">
        <w:trPr>
          <w:trHeight w:val="260"/>
        </w:trPr>
        <w:tc>
          <w:tcPr>
            <w:tcW w:w="2292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Coburn</w:t>
            </w:r>
          </w:p>
        </w:tc>
        <w:tc>
          <w:tcPr>
            <w:tcW w:w="2293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Engebretson</w:t>
            </w:r>
          </w:p>
        </w:tc>
      </w:tr>
      <w:tr w:rsidR="00313983">
        <w:trPr>
          <w:trHeight w:val="260"/>
        </w:trPr>
        <w:tc>
          <w:tcPr>
            <w:tcW w:w="2292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Cinelli</w:t>
            </w:r>
          </w:p>
        </w:tc>
        <w:tc>
          <w:tcPr>
            <w:tcW w:w="2293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Cote</w:t>
            </w:r>
          </w:p>
        </w:tc>
      </w:tr>
      <w:tr w:rsidR="00313983">
        <w:trPr>
          <w:trHeight w:val="260"/>
        </w:trPr>
        <w:tc>
          <w:tcPr>
            <w:tcW w:w="2292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Bertrand</w:t>
            </w:r>
          </w:p>
        </w:tc>
        <w:tc>
          <w:tcPr>
            <w:tcW w:w="2293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Slabich</w:t>
            </w:r>
          </w:p>
        </w:tc>
      </w:tr>
      <w:tr w:rsidR="00313983">
        <w:trPr>
          <w:trHeight w:val="260"/>
        </w:trPr>
        <w:tc>
          <w:tcPr>
            <w:tcW w:w="2292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Krieger</w:t>
            </w:r>
          </w:p>
        </w:tc>
        <w:tc>
          <w:tcPr>
            <w:tcW w:w="2293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Maitinsky</w:t>
            </w:r>
          </w:p>
        </w:tc>
      </w:tr>
      <w:tr w:rsidR="00313983">
        <w:trPr>
          <w:trHeight w:val="260"/>
        </w:trPr>
        <w:tc>
          <w:tcPr>
            <w:tcW w:w="2292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Brown</w:t>
            </w:r>
          </w:p>
        </w:tc>
        <w:tc>
          <w:tcPr>
            <w:tcW w:w="2293" w:type="dxa"/>
          </w:tcPr>
          <w:p w:rsidR="00313983" w:rsidRDefault="00CC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Thomas</w:t>
            </w:r>
          </w:p>
        </w:tc>
      </w:tr>
    </w:tbl>
    <w:p w:rsidR="00313983" w:rsidRDefault="0031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sectPr w:rsidR="00313983">
      <w:pgSz w:w="12240" w:h="15840"/>
      <w:pgMar w:top="576" w:right="864" w:bottom="57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866"/>
    <w:multiLevelType w:val="multilevel"/>
    <w:tmpl w:val="D570AA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F42BA9"/>
    <w:multiLevelType w:val="multilevel"/>
    <w:tmpl w:val="4476E0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A067FB9"/>
    <w:multiLevelType w:val="multilevel"/>
    <w:tmpl w:val="5994F5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7F52C5"/>
    <w:multiLevelType w:val="multilevel"/>
    <w:tmpl w:val="29AAC7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BA49A1"/>
    <w:multiLevelType w:val="multilevel"/>
    <w:tmpl w:val="D75C75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6E0A62"/>
    <w:multiLevelType w:val="multilevel"/>
    <w:tmpl w:val="E9E471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3983"/>
    <w:rsid w:val="00313983"/>
    <w:rsid w:val="00C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Casey</dc:creator>
  <cp:lastModifiedBy>Educational User</cp:lastModifiedBy>
  <cp:revision>2</cp:revision>
  <dcterms:created xsi:type="dcterms:W3CDTF">2018-11-26T15:58:00Z</dcterms:created>
  <dcterms:modified xsi:type="dcterms:W3CDTF">2018-11-26T15:58:00Z</dcterms:modified>
</cp:coreProperties>
</file>